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48B8" w:rsidRDefault="001548B8" w:rsidP="001548B8">
      <w:pPr>
        <w:spacing w:before="0" w:after="0" w:line="480" w:lineRule="auto"/>
        <w:rPr>
          <w:rFonts w:ascii="Times New Roman" w:eastAsia="Calibri" w:hAnsi="Times New Roman" w:cs="Times New Roman"/>
          <w:b/>
          <w:color w:val="auto"/>
          <w:sz w:val="24"/>
          <w:szCs w:val="24"/>
          <w:lang w:eastAsia="en-US"/>
        </w:rPr>
      </w:pPr>
      <w:r>
        <w:rPr>
          <w:rFonts w:ascii="Times New Roman" w:eastAsia="Calibri" w:hAnsi="Times New Roman" w:cs="Times New Roman"/>
          <w:b/>
          <w:color w:val="auto"/>
          <w:sz w:val="24"/>
          <w:szCs w:val="24"/>
          <w:lang w:eastAsia="en-US"/>
        </w:rPr>
        <w:t>Additional File 2</w:t>
      </w:r>
    </w:p>
    <w:p w:rsidR="001548B8" w:rsidRPr="004935B7" w:rsidRDefault="001548B8" w:rsidP="001548B8">
      <w:pPr>
        <w:spacing w:before="0" w:after="0" w:line="48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All the genes discussed in this article</w:t>
      </w:r>
      <w:r w:rsidRPr="004935B7">
        <w:rPr>
          <w:rFonts w:ascii="Times New Roman" w:eastAsia="Calibri" w:hAnsi="Times New Roman" w:cs="Times New Roman"/>
          <w:color w:val="auto"/>
          <w:sz w:val="24"/>
          <w:szCs w:val="24"/>
          <w:lang w:eastAsia="en-US"/>
        </w:rPr>
        <w:t xml:space="preserve"> are a</w:t>
      </w:r>
      <w:r>
        <w:rPr>
          <w:rFonts w:ascii="Times New Roman" w:eastAsia="Calibri" w:hAnsi="Times New Roman" w:cs="Times New Roman"/>
          <w:color w:val="auto"/>
          <w:sz w:val="24"/>
          <w:szCs w:val="24"/>
          <w:lang w:eastAsia="en-US"/>
        </w:rPr>
        <w:t>ll summarized below (Table S1</w:t>
      </w:r>
      <w:r w:rsidRPr="004935B7">
        <w:rPr>
          <w:rFonts w:ascii="Times New Roman" w:eastAsia="Calibri" w:hAnsi="Times New Roman" w:cs="Times New Roman"/>
          <w:color w:val="auto"/>
          <w:sz w:val="24"/>
          <w:szCs w:val="24"/>
          <w:lang w:eastAsia="en-US"/>
        </w:rPr>
        <w:t>).</w:t>
      </w:r>
    </w:p>
    <w:p w:rsidR="001548B8" w:rsidRPr="00FF13A8" w:rsidRDefault="001548B8" w:rsidP="001548B8">
      <w:pPr>
        <w:spacing w:before="0" w:after="0" w:line="240" w:lineRule="auto"/>
        <w:jc w:val="both"/>
        <w:rPr>
          <w:rFonts w:ascii="Times New Roman" w:eastAsia="Calibri" w:hAnsi="Times New Roman" w:cs="Times New Roman"/>
          <w:b/>
          <w:color w:val="auto"/>
          <w:sz w:val="24"/>
          <w:szCs w:val="24"/>
          <w:lang w:eastAsia="en-US"/>
        </w:rPr>
      </w:pPr>
      <w:r w:rsidRPr="002C47AF">
        <w:rPr>
          <w:rFonts w:ascii="Times New Roman" w:eastAsia="Calibri" w:hAnsi="Times New Roman" w:cs="Times New Roman"/>
          <w:b/>
          <w:color w:val="auto"/>
          <w:sz w:val="24"/>
          <w:szCs w:val="24"/>
          <w:lang w:eastAsia="en-US"/>
        </w:rPr>
        <w:t>Table S1: The oligonucleotide primers used for amplifying various genes in GBS</w:t>
      </w:r>
      <w:r w:rsidRPr="00FF13A8">
        <w:rPr>
          <w:rFonts w:ascii="Times New Roman" w:eastAsia="Calibri" w:hAnsi="Times New Roman" w:cs="Times New Roman"/>
          <w:b/>
          <w:color w:val="auto"/>
          <w:sz w:val="24"/>
          <w:szCs w:val="24"/>
          <w:lang w:eastAsia="en-US"/>
        </w:rPr>
        <w:t>.</w:t>
      </w:r>
    </w:p>
    <w:tbl>
      <w:tblPr>
        <w:tblStyle w:val="TableGrid"/>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4"/>
        <w:gridCol w:w="1988"/>
        <w:gridCol w:w="3969"/>
        <w:gridCol w:w="1418"/>
        <w:gridCol w:w="2129"/>
      </w:tblGrid>
      <w:tr w:rsidR="001548B8" w:rsidRPr="00B11F83" w:rsidTr="00E4403D">
        <w:tc>
          <w:tcPr>
            <w:tcW w:w="984" w:type="dxa"/>
            <w:tcBorders>
              <w:top w:val="single" w:sz="4" w:space="0" w:color="auto"/>
              <w:bottom w:val="single" w:sz="4" w:space="0" w:color="auto"/>
            </w:tcBorders>
          </w:tcPr>
          <w:p w:rsidR="001548B8" w:rsidRPr="00B11F83" w:rsidRDefault="001548B8" w:rsidP="00E4403D">
            <w:pPr>
              <w:spacing w:before="0" w:after="160" w:line="259" w:lineRule="auto"/>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Primer Name</w:t>
            </w:r>
          </w:p>
        </w:tc>
        <w:tc>
          <w:tcPr>
            <w:tcW w:w="1988" w:type="dxa"/>
            <w:tcBorders>
              <w:top w:val="single" w:sz="4" w:space="0" w:color="auto"/>
              <w:bottom w:val="single" w:sz="4" w:space="0" w:color="auto"/>
            </w:tcBorders>
          </w:tcPr>
          <w:p w:rsidR="001548B8" w:rsidRPr="00B11F83" w:rsidRDefault="001548B8" w:rsidP="00E4403D">
            <w:pPr>
              <w:spacing w:before="0" w:after="160" w:line="259" w:lineRule="auto"/>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Name of Gene</w:t>
            </w:r>
          </w:p>
        </w:tc>
        <w:tc>
          <w:tcPr>
            <w:tcW w:w="3969" w:type="dxa"/>
            <w:tcBorders>
              <w:top w:val="single" w:sz="4" w:space="0" w:color="auto"/>
              <w:bottom w:val="single" w:sz="4" w:space="0" w:color="auto"/>
            </w:tcBorders>
          </w:tcPr>
          <w:p w:rsidR="001548B8" w:rsidRPr="00B11F83" w:rsidRDefault="001548B8" w:rsidP="00E4403D">
            <w:pPr>
              <w:spacing w:before="0" w:after="160" w:line="259" w:lineRule="auto"/>
              <w:jc w:val="center"/>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Primer sequence (5’ to 3’)</w:t>
            </w:r>
          </w:p>
        </w:tc>
        <w:tc>
          <w:tcPr>
            <w:tcW w:w="1418" w:type="dxa"/>
            <w:tcBorders>
              <w:top w:val="single" w:sz="4" w:space="0" w:color="auto"/>
              <w:bottom w:val="single" w:sz="4" w:space="0" w:color="auto"/>
            </w:tcBorders>
          </w:tcPr>
          <w:p w:rsidR="001548B8" w:rsidRPr="00B11F83" w:rsidRDefault="001548B8" w:rsidP="00E4403D">
            <w:pPr>
              <w:spacing w:before="0" w:after="160" w:line="259" w:lineRule="auto"/>
              <w:jc w:val="center"/>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Expected Product size</w:t>
            </w:r>
          </w:p>
        </w:tc>
        <w:tc>
          <w:tcPr>
            <w:tcW w:w="2129" w:type="dxa"/>
            <w:tcBorders>
              <w:top w:val="single" w:sz="4" w:space="0" w:color="auto"/>
              <w:bottom w:val="single" w:sz="4" w:space="0" w:color="auto"/>
            </w:tcBorders>
          </w:tcPr>
          <w:p w:rsidR="001548B8" w:rsidRPr="00B11F83" w:rsidRDefault="001548B8" w:rsidP="00E4403D">
            <w:pPr>
              <w:spacing w:before="0" w:after="160" w:line="259" w:lineRule="auto"/>
              <w:jc w:val="center"/>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Reference</w:t>
            </w:r>
          </w:p>
        </w:tc>
      </w:tr>
      <w:tr w:rsidR="001548B8" w:rsidRPr="00B11F83" w:rsidTr="00E4403D">
        <w:tc>
          <w:tcPr>
            <w:tcW w:w="984" w:type="dxa"/>
            <w:tcBorders>
              <w:top w:val="single" w:sz="4" w:space="0" w:color="auto"/>
            </w:tcBorders>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atr</w:t>
            </w:r>
          </w:p>
        </w:tc>
        <w:tc>
          <w:tcPr>
            <w:tcW w:w="1988" w:type="dxa"/>
            <w:tcBorders>
              <w:top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000000" w:themeColor="text1"/>
                <w:sz w:val="18"/>
                <w:szCs w:val="18"/>
                <w:lang w:eastAsia="en-US"/>
              </w:rPr>
            </w:pPr>
          </w:p>
        </w:tc>
        <w:tc>
          <w:tcPr>
            <w:tcW w:w="3969" w:type="dxa"/>
            <w:tcBorders>
              <w:top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000000" w:themeColor="text1"/>
                <w:sz w:val="18"/>
                <w:szCs w:val="18"/>
                <w:lang w:eastAsia="en-US"/>
              </w:rPr>
            </w:pPr>
            <w:r w:rsidRPr="00B11F83">
              <w:rPr>
                <w:rFonts w:ascii="Times New Roman" w:eastAsia="Calibri" w:hAnsi="Times New Roman" w:cs="Times New Roman"/>
                <w:color w:val="000000" w:themeColor="text1"/>
                <w:sz w:val="18"/>
                <w:szCs w:val="18"/>
                <w:lang w:eastAsia="en-US"/>
              </w:rPr>
              <w:t>F- CAA CGA TTC TCT CAG CTT TGT TAA</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000000" w:themeColor="text1"/>
                <w:sz w:val="18"/>
                <w:szCs w:val="18"/>
                <w:lang w:eastAsia="en-US"/>
              </w:rPr>
              <w:t>R- TAA GAA ATC TCT TGT GCG GAT TTC</w:t>
            </w:r>
          </w:p>
        </w:tc>
        <w:tc>
          <w:tcPr>
            <w:tcW w:w="1418" w:type="dxa"/>
            <w:tcBorders>
              <w:top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780</w:t>
            </w:r>
          </w:p>
        </w:tc>
        <w:tc>
          <w:tcPr>
            <w:tcW w:w="2129" w:type="dxa"/>
            <w:tcBorders>
              <w:top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isq4inddn","properties":{"formattedCitation":"(21)","plainCitation":"(21)","noteIndex":0},"citationItems":[{"id":"2UEEs369/xkPrnQiZ","uris":["http://zotero.org/users/local/oZ5DKORx/items/9EPPMCPV"],"uri":["http://zotero.org/users/local/oZ5DKORx/items/9EPPMCPV"],"itemData":{"id":85,"type":"article-journal","title":"Group B Streptococcus detection: comparison of PCR assay and culture as a screening method for pregnant women","container-title":"The Brazilian Journal of Infectious Diseases: An Official Publication of the Brazilian Society of Infectious Diseases","page":"323-327","volume":"15","issue":"4","source":"PubMed","abstract":"Streptococcus agalactiae or group B Streptococcus (GBS) is one of the most important causal agents of serious neonatal infections. Numerous assays have been evaluated for GBS screening in order to validate a fast and efficient method. The aim of this study was to compare the culture technique (established as the gold standard) with the molecular method of polymerase chain reaction (PCR) with specific primers (atr gene). Two hundred and sixty-three samples were analyzed. Vaginal samples were collected, according to the Centers for Disease Control and Prevention (CDC) recommendations, from women over 35 weeks of pregnancy at Hospital de Clínicas de Porto Alegre (HCPA). Two different extraction methods were tested in all samples collected. PCR technique yielded 71 (26.99%) positive results. Sensitivity and specificity for PCR were 100% and 86.88%, respectively. PCR demonstrated a shorter turnaround time than the culture. The molecular methodology proved to be a useful screening for GBS, allowing effective treatment to be initiated in shorter time to prevent newborn infection.","ISSN":"1678-4391","note":"PMID: 21861001","shortTitle":"Group B Streptococcus detection","journalAbbreviation":"Braz J Infect Dis","language":"eng","author":[{"family":"Paris","given":"Fernanda","non-dropping-particle":"de-"},{"family":"Machado","given":"Alice Beatriz Mombach Pinheiro"},{"family":"Gheno","given":"Tailise Conte"},{"family":"Ascoli","given":"Bruna Maria"},{"family":"Oliveira","given":"Kátia Ruschel Pilger","dropping-particle":"de"},{"family":"Barth","given":"Afonso Luis"}],"issued":{"date-parts":[["2011",8]]}}}],"schema":"https://github.com/citation-style-language/schema/raw/master/csl-citation.json"}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(21)</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IS1548</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TTG CGC AGT TGA ATT GGA TAG</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TTC TCT AAC TTC AAT CTG TCC CCT A</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690</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16mjlco1fm","properties":{"formattedCitation":"(7)","plainCitation":"(7)","noteIndex":0},"citationItems":[{"id":"2UEEs369/i8qn2HKD","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bac</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beta/β antigens of the C protein</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CTA TTT TTG ATA TTG ACA ATG CAA</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GTC GTT ACT TCC TTG AGA TGT AAC</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592</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jki68cko2","properties":{"formattedCitation":"(7)","plainCitation":"(7)","noteIndex":0},"citationItems":[{"id":"2UEEs369/i8qn2HKD","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r w:rsidRPr="00B11F83">
              <w:rPr>
                <w:rFonts w:ascii="Times New Roman" w:eastAsia="Calibri" w:hAnsi="Times New Roman" w:cs="Times New Roman"/>
                <w:color w:val="auto"/>
                <w:sz w:val="18"/>
                <w:szCs w:val="18"/>
                <w:lang w:eastAsia="en-US"/>
              </w:rPr>
              <w:t xml:space="preserve"> </w:t>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bca</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alpha/α antigens of the C protein</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TAA CAG TTA TGA TAC TTC ACA GAC</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ACG ACT TTC TTC CGT CCA CTT AGG</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535</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isoo499qs","properties":{"formattedCitation":"(7)","plainCitation":"(7)","noteIndex":0},"citationItems":[{"id":"2UEEs369/i8qn2HKD","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r w:rsidRPr="00B11F83">
              <w:rPr>
                <w:rFonts w:ascii="Times New Roman" w:eastAsia="Calibri" w:hAnsi="Times New Roman" w:cs="Times New Roman"/>
                <w:color w:val="auto"/>
                <w:sz w:val="18"/>
                <w:szCs w:val="18"/>
                <w:lang w:eastAsia="en-US"/>
              </w:rPr>
              <w:t xml:space="preserve"> </w:t>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hly</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Hyaluronate lyase</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TCC ATT TAA AGC CCT TGG TG</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GGC GCC AGT ATA AGC AAC AT</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199</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1t9vkf7ibi","properties":{"formattedCitation":"(7)","plainCitation":"(7)","noteIndex":0},"citationItems":[{"id":"2UEEs369/i8qn2HKD","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rib</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Surface protein Rib</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CAG GAA GTG CTG TTA CGT TAA AC</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CGT CCC ATT TAG GGT CTT CC</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369</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r9l8u0fg4","properties":{"formattedCitation":"(7)","plainCitation":"(7)","noteIndex":0},"citationItems":[{"id":"2UEEs369/i8qn2HKD","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scpB</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C5a peptidase</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ACA ACG GAA GGC GCT ACT GTT C</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ACC TGG TGT TTG ACC TGA ACT A</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255</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bxzZ8QEI","properties":{"formattedCitation":"(20)","plainCitation":"(20)","noteIndex":0},"citationItems":[{"id":"2UEEs369/R4Zn1Ke1","uris":["http://zotero.org/users/local/oZ5DKORx/items/W5X448ZG"],"uri":["http://zotero.org/users/local/oZ5DKORx/items/W5X448ZG"],"itemData":{"id":925,"type":"article-journal","title":"Group B streptococcal carriage, antimicrobial susceptibility, and virulence related genes among pregnant women in Alexandria, Egypt","container-title":"Alexandria Journal of Medicine","URL":"http://www.sciencedirect.com/science/article/pii/S209050681630197X","author":[{"family":"Sadaka","given":"Salama. M"},{"family":"Aly","given":"Hala. Abdelsalam"},{"family":"Meheissen","given":"Marwa. A"},{"family":"Orief","given":"Yasser. I"},{"family":"Arafaa","given":"Basma. M"}],"issued":{"date-parts":[["2017"]]},"accessed":{"date-parts":[["2017",5,31]]}}}],"schema":"https://github.com/citation-style-language/schema/raw/master/csl-citation.json"}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(20)</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ermB</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Erythromycin Ribosomal Methylase</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GAA AAG GTA CTC AAC CAA ATA</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AGT AAC GGT ACT TAA ATT GTT TAC</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640</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dmte9s0mr","properties":{"formattedCitation":"(12)","plainCitation":"(12)","noteIndex":0},"citationItems":[{"id":"2UEEs369/akGCkfMt","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ermTR</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Erythromycin Ribosomal Methylase</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GAA GTT TAG CTT TCC TAA</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GCT TCA GCA CCT GTC TTA ATT GAT</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400</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dvme5p1rn","properties":{"formattedCitation":"(12)","plainCitation":"(12)","noteIndex":0},"citationItems":[{"id":"2UEEs369/akGCkfMt","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mefA</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Erythromycin resistance efflux pump</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AGT ATC ATT AAT CAC TAG TGC</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TTC TTC TGG TAC TAA AAG TGG</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348</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15kb5s8uqd","properties":{"formattedCitation":"(12)","plainCitation":"(12)","noteIndex":0},"citationItems":[{"id":"2UEEs369/akGCkfMt","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linB</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Lincosamide nucleotidyltransferases</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CCT ACC TAT TGT TTG TGG AA</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ATA ACG TTA CTC TCC TAT TC</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944</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27a2faj5s0","properties":{"formattedCitation":"(12)","plainCitation":"(12)","noteIndex":0},"citationItems":[{"id":"2UEEs369/akGCkfMt","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Pr>
                <w:rFonts w:ascii="Times New Roman" w:eastAsia="Calibri" w:hAnsi="Times New Roman" w:cs="Times New Roman"/>
                <w:i/>
                <w:color w:val="auto"/>
                <w:sz w:val="18"/>
                <w:szCs w:val="18"/>
                <w:lang w:eastAsia="en-US"/>
              </w:rPr>
              <w:t>tetM</w:t>
            </w:r>
          </w:p>
        </w:tc>
        <w:tc>
          <w:tcPr>
            <w:tcW w:w="198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Tetracycline Resistance</w:t>
            </w:r>
          </w:p>
        </w:tc>
        <w:tc>
          <w:tcPr>
            <w:tcW w:w="396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GTG GAG TAC TAC ATT TAC GAG</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GAA GCG GAT CAC TAT CTG AG</w:t>
            </w:r>
          </w:p>
        </w:tc>
        <w:tc>
          <w:tcPr>
            <w:tcW w:w="1418"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359</w:t>
            </w:r>
          </w:p>
        </w:tc>
        <w:tc>
          <w:tcPr>
            <w:tcW w:w="2129" w:type="dxa"/>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2evp8i58g4","properties":{"formattedCitation":"(16)","plainCitation":"(16)","noteIndex":0},"citationItems":[{"id":"2UEEs369/GrGYopu6","uris":["http://zotero.org/users/local/oZ5DKORx/items/UB9AB3P9"],"uri":["http://zotero.org/users/local/oZ5DKORx/items/UB9AB3P9"],"itemData":{"id":135,"type":"article-journal","title":"Genetic basis of antibiotic resistance in Streptococcus agalactiae strains isolated in a French hospital","container-title":"Antimicrobial Agents and Chemotherapy","page":"794-797","volume":"47","issue":"2","source":"PubMed","abstract":"The genetic basis of antibiotic resistance in 113 unrelated group B streptococci was studied by PCR. Ninety-four strains were resistant to tetracycline-minocycline, and tet(M) was detected in 85% of these isolates. Seventeen erythromycin-resistant strains contained the erm(B), erm(TR), or mef(A) gene. Eleven strains exhibited high-level resistance to kanamycin due to the presence of the aphA3 gene; eight of these strains were also highly resistant to streptomycin; aad-6-related sequences were detected in seven strains.","ISSN":"0066-4804","note":"PMID: 12543695\nPMCID: PMC151750","journalAbbreviation":"Antimicrob. Agents Chemother.","language":"eng","author":[{"family":"Poyart","given":"Claire"},{"family":"Jardy","given":"Laurence"},{"family":"Quesne","given":"Gilles"},{"family":"Berche","given":"Patrick"},{"family":"Trieu-Cuot","given":"Patrick"}],"issued":{"date-parts":[["2003",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(16)</w:t>
            </w:r>
            <w:r w:rsidRPr="00B11F83">
              <w:rPr>
                <w:rFonts w:ascii="Times New Roman" w:eastAsia="Calibri" w:hAnsi="Times New Roman" w:cs="Times New Roman"/>
                <w:color w:val="auto"/>
                <w:sz w:val="18"/>
                <w:szCs w:val="18"/>
                <w:lang w:eastAsia="en-US"/>
              </w:rPr>
              <w:fldChar w:fldCharType="end"/>
            </w:r>
          </w:p>
        </w:tc>
      </w:tr>
      <w:tr w:rsidR="001548B8" w:rsidRPr="00B11F83" w:rsidTr="00E4403D">
        <w:tc>
          <w:tcPr>
            <w:tcW w:w="984" w:type="dxa"/>
            <w:tcBorders>
              <w:bottom w:val="single" w:sz="4" w:space="0" w:color="auto"/>
            </w:tcBorders>
          </w:tcPr>
          <w:p w:rsidR="001548B8" w:rsidRPr="00B11F83" w:rsidRDefault="001548B8" w:rsidP="00E4403D">
            <w:pPr>
              <w:spacing w:before="0" w:after="160" w:line="259" w:lineRule="auto"/>
              <w:rPr>
                <w:rFonts w:ascii="Times New Roman" w:eastAsia="Calibri" w:hAnsi="Times New Roman" w:cs="Times New Roman"/>
                <w:i/>
                <w:color w:val="auto"/>
                <w:sz w:val="18"/>
                <w:szCs w:val="18"/>
                <w:lang w:eastAsia="en-US"/>
              </w:rPr>
            </w:pPr>
            <w:r>
              <w:rPr>
                <w:rFonts w:ascii="Times New Roman" w:eastAsia="Calibri" w:hAnsi="Times New Roman" w:cs="Times New Roman"/>
                <w:i/>
                <w:color w:val="auto"/>
                <w:sz w:val="18"/>
                <w:szCs w:val="18"/>
                <w:lang w:eastAsia="en-US"/>
              </w:rPr>
              <w:t>tetO</w:t>
            </w:r>
          </w:p>
        </w:tc>
        <w:tc>
          <w:tcPr>
            <w:tcW w:w="1988" w:type="dxa"/>
            <w:tcBorders>
              <w:bottom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Tetracycline Resistance</w:t>
            </w:r>
          </w:p>
        </w:tc>
        <w:tc>
          <w:tcPr>
            <w:tcW w:w="3969" w:type="dxa"/>
            <w:tcBorders>
              <w:bottom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GCG GAA CAT TGC ATT TGA GGG</w:t>
            </w:r>
          </w:p>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CTC TAT GGA CAA CCC GAC AGA AG</w:t>
            </w:r>
          </w:p>
        </w:tc>
        <w:tc>
          <w:tcPr>
            <w:tcW w:w="1418" w:type="dxa"/>
            <w:tcBorders>
              <w:bottom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538</w:t>
            </w:r>
          </w:p>
        </w:tc>
        <w:tc>
          <w:tcPr>
            <w:tcW w:w="2129" w:type="dxa"/>
            <w:tcBorders>
              <w:bottom w:val="single" w:sz="4" w:space="0" w:color="auto"/>
            </w:tcBorders>
          </w:tcPr>
          <w:p w:rsidR="001548B8" w:rsidRPr="00B11F83" w:rsidRDefault="001548B8" w:rsidP="00E4403D">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2op30s0ek7","properties":{"formattedCitation":"(16)","plainCitation":"(16)","noteIndex":0},"citationItems":[{"id":"2UEEs369/GrGYopu6","uris":["http://zotero.org/users/local/oZ5DKORx/items/UB9AB3P9"],"uri":["http://zotero.org/users/local/oZ5DKORx/items/UB9AB3P9"],"itemData":{"id":135,"type":"article-journal","title":"Genetic basis of antibiotic resistance in Streptococcus agalactiae strains isolated in a French hospital","container-title":"Antimicrobial Agents and Chemotherapy","page":"794-797","volume":"47","issue":"2","source":"PubMed","abstract":"The genetic basis of antibiotic resistance in 113 unrelated group B streptococci was studied by PCR. Ninety-four strains were resistant to tetracycline-minocycline, and tet(M) was detected in 85% of these isolates. Seventeen erythromycin-resistant strains contained the erm(B), erm(TR), or mef(A) gene. Eleven strains exhibited high-level resistance to kanamycin due to the presence of the aphA3 gene; eight of these strains were also highly resistant to streptomycin; aad-6-related sequences were detected in seven strains.","ISSN":"0066-4804","note":"PMID: 12543695\nPMCID: PMC151750","journalAbbreviation":"Antimicrob. Agents Chemother.","language":"eng","author":[{"family":"Poyart","given":"Claire"},{"family":"Jardy","given":"Laurence"},{"family":"Quesne","given":"Gilles"},{"family":"Berche","given":"Patrick"},{"family":"Trieu-Cuot","given":"Patrick"}],"issued":{"date-parts":[["2003",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F6385">
              <w:rPr>
                <w:rFonts w:ascii="Times New Roman" w:hAnsi="Times New Roman" w:cs="Times New Roman"/>
                <w:sz w:val="18"/>
              </w:rPr>
              <w:t>(16)</w:t>
            </w:r>
            <w:r w:rsidRPr="00B11F83">
              <w:rPr>
                <w:rFonts w:ascii="Times New Roman" w:eastAsia="Calibri" w:hAnsi="Times New Roman" w:cs="Times New Roman"/>
                <w:color w:val="auto"/>
                <w:sz w:val="18"/>
                <w:szCs w:val="18"/>
                <w:lang w:eastAsia="en-US"/>
              </w:rPr>
              <w:fldChar w:fldCharType="end"/>
            </w:r>
          </w:p>
        </w:tc>
      </w:tr>
    </w:tbl>
    <w:p w:rsidR="001548B8" w:rsidRDefault="001548B8" w:rsidP="001548B8">
      <w:pPr>
        <w:spacing w:before="0" w:after="160" w:line="259" w:lineRule="auto"/>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t xml:space="preserve">                                 </w:t>
      </w:r>
      <w:r w:rsidRPr="00A72F15">
        <w:rPr>
          <w:rFonts w:ascii="Times New Roman" w:eastAsia="Calibri" w:hAnsi="Times New Roman" w:cs="Times New Roman"/>
          <w:color w:val="auto"/>
          <w:lang w:eastAsia="en-US"/>
        </w:rPr>
        <w:t>All the primers used in this study were fr</w:t>
      </w:r>
      <w:r>
        <w:rPr>
          <w:rFonts w:ascii="Times New Roman" w:eastAsia="Calibri" w:hAnsi="Times New Roman" w:cs="Times New Roman"/>
          <w:color w:val="auto"/>
          <w:lang w:eastAsia="en-US"/>
        </w:rPr>
        <w:t>om Inqaba biotech, South Africa</w:t>
      </w:r>
    </w:p>
    <w:p w:rsidR="001548B8" w:rsidRPr="00AF261B" w:rsidRDefault="001548B8" w:rsidP="001548B8">
      <w:pPr>
        <w:spacing w:before="0" w:after="0" w:line="240" w:lineRule="auto"/>
        <w:rPr>
          <w:rFonts w:ascii="Times New Roman" w:hAnsi="Times New Roman" w:cs="Times New Roman"/>
          <w:b/>
          <w:color w:val="auto"/>
          <w:sz w:val="24"/>
          <w:szCs w:val="24"/>
        </w:rPr>
      </w:pPr>
      <w:r>
        <w:rPr>
          <w:rFonts w:ascii="Times New Roman" w:hAnsi="Times New Roman" w:cs="Times New Roman"/>
          <w:b/>
          <w:color w:val="auto"/>
          <w:sz w:val="24"/>
          <w:szCs w:val="24"/>
        </w:rPr>
        <w:t>Table S2</w:t>
      </w:r>
      <w:r w:rsidRPr="00AF261B">
        <w:rPr>
          <w:rFonts w:ascii="Times New Roman" w:hAnsi="Times New Roman" w:cs="Times New Roman"/>
          <w:b/>
          <w:color w:val="auto"/>
          <w:sz w:val="24"/>
          <w:szCs w:val="24"/>
        </w:rPr>
        <w:t>:</w:t>
      </w:r>
      <w:r>
        <w:rPr>
          <w:rFonts w:ascii="Times New Roman" w:hAnsi="Times New Roman" w:cs="Times New Roman"/>
          <w:b/>
          <w:color w:val="auto"/>
          <w:sz w:val="24"/>
          <w:szCs w:val="24"/>
        </w:rPr>
        <w:t xml:space="preserve"> Presence or absence of the expected amplicons</w:t>
      </w:r>
      <w:r w:rsidRPr="00AF261B">
        <w:rPr>
          <w:rFonts w:ascii="Times New Roman" w:hAnsi="Times New Roman" w:cs="Times New Roman"/>
          <w:b/>
          <w:color w:val="auto"/>
          <w:sz w:val="24"/>
          <w:szCs w:val="24"/>
        </w:rPr>
        <w:t xml:space="preserve"> in the 43 GBS </w:t>
      </w:r>
      <w:r>
        <w:rPr>
          <w:rFonts w:ascii="Times New Roman" w:hAnsi="Times New Roman" w:cs="Times New Roman"/>
          <w:b/>
          <w:color w:val="auto"/>
          <w:sz w:val="24"/>
          <w:szCs w:val="24"/>
        </w:rPr>
        <w:t>isolate</w:t>
      </w:r>
      <w:r w:rsidRPr="00AF261B">
        <w:rPr>
          <w:rFonts w:ascii="Times New Roman" w:hAnsi="Times New Roman" w:cs="Times New Roman"/>
          <w:b/>
          <w:color w:val="auto"/>
          <w:sz w:val="24"/>
          <w:szCs w:val="24"/>
        </w:rPr>
        <w:t>s.</w:t>
      </w:r>
    </w:p>
    <w:tbl>
      <w:tblPr>
        <w:tblStyle w:val="PlainTable4"/>
        <w:tblW w:w="10625" w:type="dxa"/>
        <w:tblLayout w:type="fixed"/>
        <w:tblLook w:val="04A0" w:firstRow="1" w:lastRow="0" w:firstColumn="1" w:lastColumn="0" w:noHBand="0" w:noVBand="1"/>
      </w:tblPr>
      <w:tblGrid>
        <w:gridCol w:w="704"/>
        <w:gridCol w:w="851"/>
        <w:gridCol w:w="708"/>
        <w:gridCol w:w="851"/>
        <w:gridCol w:w="567"/>
        <w:gridCol w:w="567"/>
        <w:gridCol w:w="709"/>
        <w:gridCol w:w="708"/>
        <w:gridCol w:w="568"/>
        <w:gridCol w:w="709"/>
        <w:gridCol w:w="708"/>
        <w:gridCol w:w="708"/>
        <w:gridCol w:w="851"/>
        <w:gridCol w:w="708"/>
        <w:gridCol w:w="708"/>
      </w:tblGrid>
      <w:tr w:rsidR="001548B8" w:rsidRPr="00073F98" w:rsidTr="00E4403D">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auto"/>
              <w:bottom w:val="single" w:sz="4" w:space="0" w:color="auto"/>
            </w:tcBorders>
            <w:shd w:val="clear" w:color="auto" w:fill="auto"/>
          </w:tcPr>
          <w:p w:rsidR="001548B8" w:rsidRPr="00073F98" w:rsidRDefault="001548B8" w:rsidP="00E4403D">
            <w:pPr>
              <w:spacing w:before="0" w:after="0"/>
              <w:rPr>
                <w:rFonts w:ascii="Times New Roman" w:hAnsi="Times New Roman" w:cs="Times New Roman"/>
                <w:b w:val="0"/>
                <w:color w:val="auto"/>
              </w:rPr>
            </w:pPr>
            <w:r w:rsidRPr="00073F98">
              <w:rPr>
                <w:rFonts w:ascii="Times New Roman" w:hAnsi="Times New Roman" w:cs="Times New Roman"/>
                <w:b w:val="0"/>
                <w:color w:val="auto"/>
              </w:rPr>
              <w:lastRenderedPageBreak/>
              <w:t xml:space="preserve">No. </w:t>
            </w:r>
          </w:p>
        </w:tc>
        <w:tc>
          <w:tcPr>
            <w:tcW w:w="851" w:type="dxa"/>
            <w:tcBorders>
              <w:top w:val="single" w:sz="4" w:space="0" w:color="auto"/>
              <w:bottom w:val="single" w:sz="4" w:space="0" w:color="auto"/>
            </w:tcBorders>
            <w:shd w:val="clear" w:color="auto" w:fill="auto"/>
          </w:tcPr>
          <w:p w:rsidR="001548B8" w:rsidRPr="00073F98" w:rsidRDefault="001548B8" w:rsidP="00E4403D">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 xml:space="preserve">Sample # </w:t>
            </w:r>
          </w:p>
        </w:tc>
        <w:tc>
          <w:tcPr>
            <w:tcW w:w="708" w:type="dxa"/>
            <w:tcBorders>
              <w:top w:val="single" w:sz="4" w:space="0" w:color="auto"/>
              <w:bottom w:val="single" w:sz="4" w:space="0" w:color="auto"/>
            </w:tcBorders>
            <w:shd w:val="clear" w:color="auto" w:fill="auto"/>
          </w:tcPr>
          <w:p w:rsidR="001548B8" w:rsidRPr="00073F98" w:rsidRDefault="001548B8" w:rsidP="00E4403D">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Pr>
                <w:b w:val="0"/>
                <w:color w:val="auto"/>
                <w:sz w:val="16"/>
                <w:szCs w:val="16"/>
              </w:rPr>
              <w:t>Housekeeping gene</w:t>
            </w:r>
          </w:p>
        </w:tc>
        <w:tc>
          <w:tcPr>
            <w:tcW w:w="851" w:type="dxa"/>
            <w:tcBorders>
              <w:top w:val="single" w:sz="4" w:space="0" w:color="auto"/>
              <w:bottom w:val="single" w:sz="4" w:space="0" w:color="auto"/>
            </w:tcBorders>
            <w:shd w:val="clear" w:color="auto" w:fill="auto"/>
          </w:tcPr>
          <w:p w:rsidR="001548B8" w:rsidRPr="00073F98" w:rsidRDefault="001548B8" w:rsidP="00E4403D">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MGE</w:t>
            </w:r>
          </w:p>
        </w:tc>
        <w:tc>
          <w:tcPr>
            <w:tcW w:w="3119" w:type="dxa"/>
            <w:gridSpan w:val="5"/>
            <w:tcBorders>
              <w:top w:val="single" w:sz="4" w:space="0" w:color="auto"/>
              <w:bottom w:val="single" w:sz="4" w:space="0" w:color="auto"/>
            </w:tcBorders>
            <w:shd w:val="clear" w:color="auto" w:fill="auto"/>
          </w:tcPr>
          <w:p w:rsidR="001548B8" w:rsidRPr="00073F98"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Virulence Genes</w:t>
            </w:r>
          </w:p>
        </w:tc>
        <w:tc>
          <w:tcPr>
            <w:tcW w:w="4392" w:type="dxa"/>
            <w:gridSpan w:val="6"/>
            <w:tcBorders>
              <w:top w:val="single" w:sz="4" w:space="0" w:color="auto"/>
              <w:bottom w:val="single" w:sz="4" w:space="0" w:color="auto"/>
            </w:tcBorders>
            <w:shd w:val="clear" w:color="auto" w:fill="auto"/>
          </w:tcPr>
          <w:p w:rsidR="001548B8" w:rsidRPr="00073F98"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Antibiotic Resistance Genes</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auto"/>
            </w:tcBorders>
            <w:shd w:val="clear" w:color="auto" w:fill="auto"/>
          </w:tcPr>
          <w:p w:rsidR="001548B8" w:rsidRPr="00073F98" w:rsidRDefault="001548B8" w:rsidP="00E4403D">
            <w:pPr>
              <w:spacing w:before="0" w:after="0"/>
              <w:rPr>
                <w:rFonts w:ascii="Times New Roman" w:hAnsi="Times New Roman" w:cs="Times New Roman"/>
                <w:b w:val="0"/>
                <w:color w:val="auto"/>
              </w:rPr>
            </w:pPr>
            <w:r w:rsidRPr="00073F98">
              <w:rPr>
                <w:rFonts w:ascii="Times New Roman" w:hAnsi="Times New Roman" w:cs="Times New Roman"/>
                <w:b w:val="0"/>
                <w:color w:val="auto"/>
              </w:rPr>
              <w:t xml:space="preserve"> </w:t>
            </w:r>
          </w:p>
        </w:tc>
        <w:tc>
          <w:tcPr>
            <w:tcW w:w="851"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p>
        </w:tc>
        <w:tc>
          <w:tcPr>
            <w:tcW w:w="708"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atr</w:t>
            </w:r>
          </w:p>
        </w:tc>
        <w:tc>
          <w:tcPr>
            <w:tcW w:w="851"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Pr>
                <w:rFonts w:ascii="Times New Roman" w:hAnsi="Times New Roman" w:cs="Times New Roman"/>
                <w:b/>
                <w:color w:val="auto"/>
              </w:rPr>
              <w:t>IS1</w:t>
            </w:r>
            <w:r w:rsidRPr="00073F98">
              <w:rPr>
                <w:rFonts w:ascii="Times New Roman" w:hAnsi="Times New Roman" w:cs="Times New Roman"/>
                <w:b/>
                <w:color w:val="auto"/>
              </w:rPr>
              <w:t>5</w:t>
            </w:r>
            <w:r>
              <w:rPr>
                <w:rFonts w:ascii="Times New Roman" w:hAnsi="Times New Roman" w:cs="Times New Roman"/>
                <w:b/>
                <w:color w:val="auto"/>
              </w:rPr>
              <w:t>4</w:t>
            </w:r>
            <w:r w:rsidRPr="00073F98">
              <w:rPr>
                <w:rFonts w:ascii="Times New Roman" w:hAnsi="Times New Roman" w:cs="Times New Roman"/>
                <w:b/>
                <w:color w:val="auto"/>
              </w:rPr>
              <w:t>8</w:t>
            </w:r>
          </w:p>
        </w:tc>
        <w:tc>
          <w:tcPr>
            <w:tcW w:w="567"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rib</w:t>
            </w:r>
          </w:p>
        </w:tc>
        <w:tc>
          <w:tcPr>
            <w:tcW w:w="567"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hly</w:t>
            </w:r>
          </w:p>
        </w:tc>
        <w:tc>
          <w:tcPr>
            <w:tcW w:w="709"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scpB</w:t>
            </w:r>
          </w:p>
        </w:tc>
        <w:tc>
          <w:tcPr>
            <w:tcW w:w="708"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bca</w:t>
            </w:r>
          </w:p>
        </w:tc>
        <w:tc>
          <w:tcPr>
            <w:tcW w:w="568"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bac</w:t>
            </w:r>
          </w:p>
        </w:tc>
        <w:tc>
          <w:tcPr>
            <w:tcW w:w="709"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tetM</w:t>
            </w:r>
          </w:p>
        </w:tc>
        <w:tc>
          <w:tcPr>
            <w:tcW w:w="708"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tetO</w:t>
            </w:r>
          </w:p>
        </w:tc>
        <w:tc>
          <w:tcPr>
            <w:tcW w:w="708"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ermB</w:t>
            </w:r>
          </w:p>
        </w:tc>
        <w:tc>
          <w:tcPr>
            <w:tcW w:w="851"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ermTR</w:t>
            </w:r>
          </w:p>
        </w:tc>
        <w:tc>
          <w:tcPr>
            <w:tcW w:w="708"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mefA</w:t>
            </w:r>
          </w:p>
        </w:tc>
        <w:tc>
          <w:tcPr>
            <w:tcW w:w="708"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linB</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014</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27</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5</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6</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7</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55</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8</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64</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9</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66</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10</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124</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11</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127</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12</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131</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13</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132</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14</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133</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15</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140</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16</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157</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17</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164</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18</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173</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19</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182</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20</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192</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21</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205</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22</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209</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23</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210</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24</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220</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25</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231</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26</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241</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27</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243</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28</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267</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29</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282</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30</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288</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31</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298</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32</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300</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33</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307</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34</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315</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35</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322</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36</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325</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37</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328</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38</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363</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39</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368</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40</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375</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41</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398</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42</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407</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704" w:type="dxa"/>
            <w:tcBorders>
              <w:bottom w:val="single" w:sz="4" w:space="0" w:color="auto"/>
            </w:tcBorders>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43</w:t>
            </w:r>
          </w:p>
        </w:tc>
        <w:tc>
          <w:tcPr>
            <w:tcW w:w="851" w:type="dxa"/>
            <w:tcBorders>
              <w:bottom w:val="single" w:sz="4" w:space="0" w:color="auto"/>
            </w:tcBorders>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411</w:t>
            </w:r>
          </w:p>
        </w:tc>
        <w:tc>
          <w:tcPr>
            <w:tcW w:w="708"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tcBorders>
              <w:bottom w:val="single" w:sz="4" w:space="0" w:color="auto"/>
            </w:tcBorders>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tcBorders>
              <w:bottom w:val="single" w:sz="4" w:space="0" w:color="auto"/>
            </w:tcBorders>
            <w:shd w:val="clear" w:color="auto" w:fill="auto"/>
          </w:tcPr>
          <w:p w:rsidR="001548B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r>
    </w:tbl>
    <w:p w:rsidR="001548B8" w:rsidRDefault="001548B8" w:rsidP="001548B8">
      <w:pPr>
        <w:spacing w:before="0" w:after="0" w:line="24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Presence (+) or absence (-) of the expected amplicon during the PCRs.</w:t>
      </w:r>
    </w:p>
    <w:p w:rsidR="001548B8" w:rsidRPr="00AF261B" w:rsidRDefault="001548B8" w:rsidP="001548B8">
      <w:pPr>
        <w:spacing w:after="0" w:line="240" w:lineRule="auto"/>
        <w:rPr>
          <w:rFonts w:ascii="Times New Roman" w:hAnsi="Times New Roman" w:cs="Times New Roman"/>
          <w:b/>
          <w:color w:val="auto"/>
          <w:sz w:val="24"/>
          <w:szCs w:val="24"/>
        </w:rPr>
      </w:pPr>
      <w:r>
        <w:rPr>
          <w:rFonts w:ascii="Times New Roman" w:hAnsi="Times New Roman" w:cs="Times New Roman"/>
          <w:b/>
          <w:color w:val="auto"/>
          <w:sz w:val="24"/>
          <w:szCs w:val="24"/>
        </w:rPr>
        <w:lastRenderedPageBreak/>
        <w:t>Table S3</w:t>
      </w:r>
      <w:r w:rsidRPr="00AF261B">
        <w:rPr>
          <w:rFonts w:ascii="Times New Roman" w:hAnsi="Times New Roman" w:cs="Times New Roman"/>
          <w:b/>
          <w:color w:val="auto"/>
          <w:sz w:val="24"/>
          <w:szCs w:val="24"/>
        </w:rPr>
        <w:t xml:space="preserve">: </w:t>
      </w:r>
      <w:r>
        <w:rPr>
          <w:rFonts w:ascii="Times New Roman" w:hAnsi="Times New Roman" w:cs="Times New Roman"/>
          <w:b/>
          <w:color w:val="auto"/>
          <w:sz w:val="24"/>
          <w:szCs w:val="24"/>
        </w:rPr>
        <w:t>Presence or absence of a</w:t>
      </w:r>
      <w:r w:rsidRPr="00AF261B">
        <w:rPr>
          <w:rFonts w:ascii="Times New Roman" w:hAnsi="Times New Roman" w:cs="Times New Roman"/>
          <w:b/>
          <w:color w:val="auto"/>
          <w:sz w:val="24"/>
          <w:szCs w:val="24"/>
        </w:rPr>
        <w:t xml:space="preserve">ntibiotic resistance genes </w:t>
      </w:r>
      <w:r>
        <w:rPr>
          <w:rFonts w:ascii="Times New Roman" w:hAnsi="Times New Roman" w:cs="Times New Roman"/>
          <w:b/>
          <w:color w:val="auto"/>
          <w:sz w:val="24"/>
          <w:szCs w:val="24"/>
        </w:rPr>
        <w:t>in</w:t>
      </w:r>
      <w:r w:rsidRPr="00AF261B">
        <w:rPr>
          <w:rFonts w:ascii="Times New Roman" w:hAnsi="Times New Roman" w:cs="Times New Roman"/>
          <w:b/>
          <w:color w:val="auto"/>
          <w:sz w:val="24"/>
          <w:szCs w:val="24"/>
        </w:rPr>
        <w:t xml:space="preserve"> th</w:t>
      </w:r>
      <w:r>
        <w:rPr>
          <w:rFonts w:ascii="Times New Roman" w:hAnsi="Times New Roman" w:cs="Times New Roman"/>
          <w:b/>
          <w:color w:val="auto"/>
          <w:sz w:val="24"/>
          <w:szCs w:val="24"/>
        </w:rPr>
        <w:t>e</w:t>
      </w:r>
      <w:r w:rsidRPr="00AF261B">
        <w:rPr>
          <w:rFonts w:ascii="Times New Roman" w:hAnsi="Times New Roman" w:cs="Times New Roman"/>
          <w:b/>
          <w:color w:val="auto"/>
          <w:sz w:val="24"/>
          <w:szCs w:val="24"/>
        </w:rPr>
        <w:t xml:space="preserve"> resistant</w:t>
      </w:r>
      <w:r>
        <w:rPr>
          <w:rFonts w:ascii="Times New Roman" w:hAnsi="Times New Roman" w:cs="Times New Roman"/>
          <w:b/>
          <w:color w:val="auto"/>
          <w:sz w:val="24"/>
          <w:szCs w:val="24"/>
        </w:rPr>
        <w:t xml:space="preserve"> and intermediate</w:t>
      </w:r>
      <w:r w:rsidRPr="00AF261B">
        <w:rPr>
          <w:rFonts w:ascii="Times New Roman" w:hAnsi="Times New Roman" w:cs="Times New Roman"/>
          <w:b/>
          <w:color w:val="auto"/>
          <w:sz w:val="24"/>
          <w:szCs w:val="24"/>
        </w:rPr>
        <w:t xml:space="preserve"> isolates</w:t>
      </w:r>
      <w:r>
        <w:rPr>
          <w:rFonts w:ascii="Times New Roman" w:hAnsi="Times New Roman" w:cs="Times New Roman"/>
          <w:b/>
          <w:color w:val="auto"/>
          <w:sz w:val="24"/>
          <w:szCs w:val="24"/>
        </w:rPr>
        <w:t>.</w:t>
      </w:r>
    </w:p>
    <w:tbl>
      <w:tblPr>
        <w:tblStyle w:val="PlainTable4"/>
        <w:tblW w:w="8927" w:type="dxa"/>
        <w:tblLayout w:type="fixed"/>
        <w:tblLook w:val="04A0" w:firstRow="1" w:lastRow="0" w:firstColumn="1" w:lastColumn="0" w:noHBand="0" w:noVBand="1"/>
      </w:tblPr>
      <w:tblGrid>
        <w:gridCol w:w="988"/>
        <w:gridCol w:w="1134"/>
        <w:gridCol w:w="709"/>
        <w:gridCol w:w="709"/>
        <w:gridCol w:w="851"/>
        <w:gridCol w:w="708"/>
        <w:gridCol w:w="851"/>
        <w:gridCol w:w="709"/>
        <w:gridCol w:w="851"/>
        <w:gridCol w:w="708"/>
        <w:gridCol w:w="709"/>
      </w:tblGrid>
      <w:tr w:rsidR="001548B8" w:rsidRPr="00073F98" w:rsidTr="00E4403D">
        <w:trPr>
          <w:cnfStyle w:val="100000000000" w:firstRow="1" w:lastRow="0" w:firstColumn="0" w:lastColumn="0" w:oddVBand="0" w:evenVBand="0" w:oddHBand="0"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988" w:type="dxa"/>
            <w:tcBorders>
              <w:top w:val="single" w:sz="4" w:space="0" w:color="auto"/>
              <w:bottom w:val="single" w:sz="4" w:space="0" w:color="auto"/>
            </w:tcBorders>
            <w:shd w:val="clear" w:color="auto" w:fill="auto"/>
          </w:tcPr>
          <w:p w:rsidR="001548B8" w:rsidRPr="00073F98" w:rsidRDefault="001548B8" w:rsidP="00E4403D">
            <w:pPr>
              <w:spacing w:before="0" w:after="0"/>
              <w:jc w:val="center"/>
              <w:rPr>
                <w:rFonts w:ascii="Times New Roman" w:hAnsi="Times New Roman" w:cs="Times New Roman"/>
                <w:color w:val="auto"/>
              </w:rPr>
            </w:pPr>
            <w:r w:rsidRPr="00073F98">
              <w:rPr>
                <w:rFonts w:ascii="Times New Roman" w:hAnsi="Times New Roman" w:cs="Times New Roman"/>
                <w:color w:val="auto"/>
              </w:rPr>
              <w:t>Number</w:t>
            </w:r>
          </w:p>
        </w:tc>
        <w:tc>
          <w:tcPr>
            <w:tcW w:w="1134" w:type="dxa"/>
            <w:tcBorders>
              <w:top w:val="single" w:sz="4" w:space="0" w:color="auto"/>
              <w:bottom w:val="single" w:sz="4" w:space="0" w:color="auto"/>
            </w:tcBorders>
            <w:shd w:val="clear" w:color="auto" w:fill="auto"/>
          </w:tcPr>
          <w:p w:rsidR="001548B8" w:rsidRPr="00073F98"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Sample #</w:t>
            </w:r>
          </w:p>
        </w:tc>
        <w:tc>
          <w:tcPr>
            <w:tcW w:w="709" w:type="dxa"/>
            <w:tcBorders>
              <w:top w:val="single" w:sz="4" w:space="0" w:color="auto"/>
              <w:bottom w:val="single" w:sz="4" w:space="0" w:color="auto"/>
            </w:tcBorders>
            <w:shd w:val="clear" w:color="auto" w:fill="auto"/>
          </w:tcPr>
          <w:p w:rsidR="001548B8" w:rsidRPr="00073F98" w:rsidRDefault="001548B8" w:rsidP="00E4403D">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auto"/>
                <w:lang w:eastAsia="en-ZW"/>
              </w:rPr>
            </w:pPr>
            <w:r w:rsidRPr="00073F98">
              <w:rPr>
                <w:rFonts w:ascii="Times New Roman" w:hAnsi="Times New Roman" w:cs="Times New Roman"/>
                <w:bCs w:val="0"/>
                <w:color w:val="auto"/>
              </w:rPr>
              <w:t>CLN</w:t>
            </w:r>
          </w:p>
          <w:p w:rsidR="001548B8" w:rsidRPr="00073F98" w:rsidRDefault="001548B8" w:rsidP="00E4403D">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bCs w:val="0"/>
                <w:color w:val="auto"/>
              </w:rPr>
              <w:t>(2µg)</w:t>
            </w:r>
          </w:p>
        </w:tc>
        <w:tc>
          <w:tcPr>
            <w:tcW w:w="709" w:type="dxa"/>
            <w:tcBorders>
              <w:top w:val="single" w:sz="4" w:space="0" w:color="auto"/>
              <w:bottom w:val="single" w:sz="4" w:space="0" w:color="auto"/>
            </w:tcBorders>
            <w:shd w:val="clear" w:color="auto" w:fill="auto"/>
          </w:tcPr>
          <w:p w:rsidR="001548B8" w:rsidRPr="002F54D7"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linB</w:t>
            </w:r>
          </w:p>
          <w:p w:rsidR="001548B8" w:rsidRPr="00073F98" w:rsidRDefault="001548B8" w:rsidP="00E4403D">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tcBorders>
              <w:top w:val="single" w:sz="4" w:space="0" w:color="auto"/>
              <w:bottom w:val="single" w:sz="4" w:space="0" w:color="auto"/>
            </w:tcBorders>
            <w:shd w:val="clear" w:color="auto" w:fill="auto"/>
          </w:tcPr>
          <w:p w:rsidR="001548B8" w:rsidRPr="00073F98" w:rsidRDefault="001548B8" w:rsidP="00E4403D">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bCs w:val="0"/>
                <w:color w:val="auto"/>
              </w:rPr>
              <w:t>ERY (15µg)</w:t>
            </w:r>
          </w:p>
        </w:tc>
        <w:tc>
          <w:tcPr>
            <w:tcW w:w="708" w:type="dxa"/>
            <w:tcBorders>
              <w:top w:val="single" w:sz="4" w:space="0" w:color="auto"/>
              <w:bottom w:val="single" w:sz="4" w:space="0" w:color="auto"/>
            </w:tcBorders>
            <w:shd w:val="clear" w:color="auto" w:fill="auto"/>
          </w:tcPr>
          <w:p w:rsidR="001548B8" w:rsidRPr="002F54D7"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ermB</w:t>
            </w:r>
          </w:p>
        </w:tc>
        <w:tc>
          <w:tcPr>
            <w:tcW w:w="851" w:type="dxa"/>
            <w:tcBorders>
              <w:top w:val="single" w:sz="4" w:space="0" w:color="auto"/>
              <w:bottom w:val="single" w:sz="4" w:space="0" w:color="auto"/>
            </w:tcBorders>
            <w:shd w:val="clear" w:color="auto" w:fill="auto"/>
          </w:tcPr>
          <w:p w:rsidR="001548B8" w:rsidRPr="002F54D7"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ermTR</w:t>
            </w:r>
          </w:p>
        </w:tc>
        <w:tc>
          <w:tcPr>
            <w:tcW w:w="709" w:type="dxa"/>
            <w:tcBorders>
              <w:top w:val="single" w:sz="4" w:space="0" w:color="auto"/>
              <w:bottom w:val="single" w:sz="4" w:space="0" w:color="auto"/>
            </w:tcBorders>
            <w:shd w:val="clear" w:color="auto" w:fill="auto"/>
          </w:tcPr>
          <w:p w:rsidR="001548B8" w:rsidRPr="002F54D7"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mefA</w:t>
            </w:r>
          </w:p>
        </w:tc>
        <w:tc>
          <w:tcPr>
            <w:tcW w:w="851" w:type="dxa"/>
            <w:tcBorders>
              <w:top w:val="single" w:sz="4" w:space="0" w:color="auto"/>
              <w:bottom w:val="single" w:sz="4" w:space="0" w:color="auto"/>
            </w:tcBorders>
            <w:shd w:val="clear" w:color="auto" w:fill="auto"/>
          </w:tcPr>
          <w:p w:rsidR="001548B8" w:rsidRPr="00073F98"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bCs w:val="0"/>
                <w:color w:val="auto"/>
              </w:rPr>
              <w:t>TET (30µg)</w:t>
            </w:r>
          </w:p>
        </w:tc>
        <w:tc>
          <w:tcPr>
            <w:tcW w:w="708" w:type="dxa"/>
            <w:tcBorders>
              <w:top w:val="single" w:sz="4" w:space="0" w:color="auto"/>
              <w:bottom w:val="single" w:sz="4" w:space="0" w:color="auto"/>
            </w:tcBorders>
            <w:shd w:val="clear" w:color="auto" w:fill="auto"/>
          </w:tcPr>
          <w:p w:rsidR="001548B8" w:rsidRPr="002F54D7"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tetM</w:t>
            </w:r>
          </w:p>
        </w:tc>
        <w:tc>
          <w:tcPr>
            <w:tcW w:w="709" w:type="dxa"/>
            <w:tcBorders>
              <w:top w:val="single" w:sz="4" w:space="0" w:color="auto"/>
              <w:bottom w:val="single" w:sz="4" w:space="0" w:color="auto"/>
            </w:tcBorders>
            <w:shd w:val="clear" w:color="auto" w:fill="auto"/>
          </w:tcPr>
          <w:p w:rsidR="001548B8" w:rsidRPr="002F54D7" w:rsidRDefault="001548B8" w:rsidP="00E4403D">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tetO</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Borders>
              <w:top w:val="single" w:sz="4" w:space="0" w:color="auto"/>
            </w:tcBorders>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w:t>
            </w:r>
          </w:p>
        </w:tc>
        <w:tc>
          <w:tcPr>
            <w:tcW w:w="1134"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014</w:t>
            </w:r>
          </w:p>
        </w:tc>
        <w:tc>
          <w:tcPr>
            <w:tcW w:w="709"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tcBorders>
              <w:top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tcBorders>
              <w:top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top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tcBorders>
              <w:top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top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tcBorders>
              <w:top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tcBorders>
              <w:top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27</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5</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6</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7</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55</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8</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64</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9</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66</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10</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124</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11</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127</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12</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131</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13</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132</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14</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133</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15</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140</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16</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157</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17</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164</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18</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173</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19</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182</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20</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192</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21</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205</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22</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209</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23</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210</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24</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220</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25</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231</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26</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241</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27</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243</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28</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267</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29</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282</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30</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288</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31</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298</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32</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300</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33</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307</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34</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315</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35</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322</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36</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325</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37</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328</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38</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363</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39</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368</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40</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375</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41</w:t>
            </w:r>
          </w:p>
        </w:tc>
        <w:tc>
          <w:tcPr>
            <w:tcW w:w="1134"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398</w:t>
            </w:r>
          </w:p>
        </w:tc>
        <w:tc>
          <w:tcPr>
            <w:tcW w:w="709"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c>
          <w:tcPr>
            <w:cnfStyle w:val="001000000000" w:firstRow="0" w:lastRow="0" w:firstColumn="1" w:lastColumn="0" w:oddVBand="0" w:evenVBand="0" w:oddHBand="0" w:evenHBand="0" w:firstRowFirstColumn="0" w:firstRowLastColumn="0" w:lastRowFirstColumn="0" w:lastRowLastColumn="0"/>
            <w:tcW w:w="988" w:type="dxa"/>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42</w:t>
            </w:r>
          </w:p>
        </w:tc>
        <w:tc>
          <w:tcPr>
            <w:tcW w:w="1134"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407</w:t>
            </w:r>
          </w:p>
        </w:tc>
        <w:tc>
          <w:tcPr>
            <w:tcW w:w="709"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rsidR="001548B8" w:rsidRPr="00073F98" w:rsidRDefault="001548B8" w:rsidP="00E4403D">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rsidR="001548B8" w:rsidRPr="00073F98" w:rsidRDefault="001548B8" w:rsidP="00E4403D">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1548B8" w:rsidRPr="00073F98" w:rsidTr="00E44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Borders>
              <w:bottom w:val="single" w:sz="4" w:space="0" w:color="auto"/>
            </w:tcBorders>
            <w:shd w:val="clear" w:color="auto" w:fill="auto"/>
          </w:tcPr>
          <w:p w:rsidR="001548B8" w:rsidRPr="00073F98" w:rsidRDefault="001548B8" w:rsidP="00E4403D">
            <w:pPr>
              <w:spacing w:before="0" w:after="0"/>
              <w:rPr>
                <w:rFonts w:ascii="Times New Roman" w:hAnsi="Times New Roman" w:cs="Times New Roman"/>
                <w:color w:val="auto"/>
              </w:rPr>
            </w:pPr>
            <w:r w:rsidRPr="00073F98">
              <w:rPr>
                <w:rFonts w:ascii="Times New Roman" w:hAnsi="Times New Roman" w:cs="Times New Roman"/>
                <w:color w:val="auto"/>
              </w:rPr>
              <w:t>43</w:t>
            </w:r>
          </w:p>
        </w:tc>
        <w:tc>
          <w:tcPr>
            <w:tcW w:w="1134" w:type="dxa"/>
            <w:tcBorders>
              <w:bottom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411</w:t>
            </w:r>
          </w:p>
        </w:tc>
        <w:tc>
          <w:tcPr>
            <w:tcW w:w="709" w:type="dxa"/>
            <w:tcBorders>
              <w:bottom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9" w:type="dxa"/>
            <w:tcBorders>
              <w:bottom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bottom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708" w:type="dxa"/>
            <w:tcBorders>
              <w:bottom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bottom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tcBorders>
              <w:bottom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bottom w:val="single" w:sz="4" w:space="0" w:color="auto"/>
            </w:tcBorders>
            <w:shd w:val="clear" w:color="auto" w:fill="auto"/>
          </w:tcPr>
          <w:p w:rsidR="001548B8" w:rsidRPr="00073F98" w:rsidRDefault="001548B8" w:rsidP="00E4403D">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708" w:type="dxa"/>
            <w:tcBorders>
              <w:bottom w:val="single" w:sz="4" w:space="0" w:color="auto"/>
            </w:tcBorders>
            <w:shd w:val="clear" w:color="auto" w:fill="auto"/>
          </w:tcPr>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tcBorders>
              <w:bottom w:val="single" w:sz="4" w:space="0" w:color="auto"/>
            </w:tcBorders>
            <w:shd w:val="clear" w:color="auto" w:fill="auto"/>
          </w:tcPr>
          <w:p w:rsidR="001548B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p w:rsidR="001548B8" w:rsidRPr="00073F98" w:rsidRDefault="001548B8" w:rsidP="00E4403D">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r>
    </w:tbl>
    <w:p w:rsidR="001548B8" w:rsidRPr="002C47AF" w:rsidRDefault="001548B8" w:rsidP="001548B8">
      <w:pPr>
        <w:spacing w:before="0" w:after="0" w:line="24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Presence (+) or absence (-) of the expected amplicon during the PCRs.</w:t>
      </w:r>
    </w:p>
    <w:p w:rsidR="00EB3BB0" w:rsidRDefault="00EB3BB0">
      <w:bookmarkStart w:id="0" w:name="_GoBack"/>
      <w:bookmarkEnd w:id="0"/>
    </w:p>
    <w:sectPr w:rsidR="00EB3BB0" w:rsidSect="00A16A6B">
      <w:footerReference w:type="default" r:id="rId5"/>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26803"/>
      <w:docPartObj>
        <w:docPartGallery w:val="Page Numbers (Bottom of Page)"/>
        <w:docPartUnique/>
      </w:docPartObj>
    </w:sdtPr>
    <w:sdtEndPr>
      <w:rPr>
        <w:noProof/>
      </w:rPr>
    </w:sdtEndPr>
    <w:sdtContent>
      <w:p w:rsidR="00E12DAF" w:rsidRDefault="001548B8">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E12DAF" w:rsidRDefault="001548B8">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EF31EC"/>
    <w:multiLevelType w:val="multilevel"/>
    <w:tmpl w:val="6A2CADF4"/>
    <w:lvl w:ilvl="0">
      <w:start w:val="3"/>
      <w:numFmt w:val="decimal"/>
      <w:lvlText w:val="%1."/>
      <w:lvlJc w:val="left"/>
      <w:pPr>
        <w:ind w:left="1140" w:hanging="360"/>
      </w:pPr>
      <w:rPr>
        <w:rFonts w:hint="default"/>
      </w:rPr>
    </w:lvl>
    <w:lvl w:ilvl="1">
      <w:start w:val="4"/>
      <w:numFmt w:val="decimal"/>
      <w:isLgl/>
      <w:lvlText w:val="%1.%2"/>
      <w:lvlJc w:val="left"/>
      <w:pPr>
        <w:ind w:left="1320" w:hanging="540"/>
      </w:pPr>
      <w:rPr>
        <w:rFonts w:hint="default"/>
        <w:i w:val="0"/>
      </w:rPr>
    </w:lvl>
    <w:lvl w:ilvl="2">
      <w:start w:val="1"/>
      <w:numFmt w:val="decimal"/>
      <w:isLgl/>
      <w:lvlText w:val="%1.%2.%3"/>
      <w:lvlJc w:val="left"/>
      <w:pPr>
        <w:ind w:left="1500" w:hanging="720"/>
      </w:pPr>
      <w:rPr>
        <w:rFonts w:hint="default"/>
        <w:i w:val="0"/>
      </w:rPr>
    </w:lvl>
    <w:lvl w:ilvl="3">
      <w:start w:val="1"/>
      <w:numFmt w:val="decimal"/>
      <w:isLgl/>
      <w:lvlText w:val="%1.%2.%3.%4"/>
      <w:lvlJc w:val="left"/>
      <w:pPr>
        <w:ind w:left="1500" w:hanging="720"/>
      </w:pPr>
      <w:rPr>
        <w:rFonts w:hint="default"/>
        <w:i w:val="0"/>
      </w:rPr>
    </w:lvl>
    <w:lvl w:ilvl="4">
      <w:start w:val="1"/>
      <w:numFmt w:val="decimal"/>
      <w:isLgl/>
      <w:lvlText w:val="%1.%2.%3.%4.%5"/>
      <w:lvlJc w:val="left"/>
      <w:pPr>
        <w:ind w:left="1860" w:hanging="1080"/>
      </w:pPr>
      <w:rPr>
        <w:rFonts w:hint="default"/>
        <w:i w:val="0"/>
      </w:rPr>
    </w:lvl>
    <w:lvl w:ilvl="5">
      <w:start w:val="1"/>
      <w:numFmt w:val="decimal"/>
      <w:isLgl/>
      <w:lvlText w:val="%1.%2.%3.%4.%5.%6"/>
      <w:lvlJc w:val="left"/>
      <w:pPr>
        <w:ind w:left="1860" w:hanging="1080"/>
      </w:pPr>
      <w:rPr>
        <w:rFonts w:hint="default"/>
        <w:i w:val="0"/>
      </w:rPr>
    </w:lvl>
    <w:lvl w:ilvl="6">
      <w:start w:val="1"/>
      <w:numFmt w:val="decimal"/>
      <w:isLgl/>
      <w:lvlText w:val="%1.%2.%3.%4.%5.%6.%7"/>
      <w:lvlJc w:val="left"/>
      <w:pPr>
        <w:ind w:left="2220" w:hanging="1440"/>
      </w:pPr>
      <w:rPr>
        <w:rFonts w:hint="default"/>
        <w:i w:val="0"/>
      </w:rPr>
    </w:lvl>
    <w:lvl w:ilvl="7">
      <w:start w:val="1"/>
      <w:numFmt w:val="decimal"/>
      <w:isLgl/>
      <w:lvlText w:val="%1.%2.%3.%4.%5.%6.%7.%8"/>
      <w:lvlJc w:val="left"/>
      <w:pPr>
        <w:ind w:left="2220" w:hanging="1440"/>
      </w:pPr>
      <w:rPr>
        <w:rFonts w:hint="default"/>
        <w:i w:val="0"/>
      </w:rPr>
    </w:lvl>
    <w:lvl w:ilvl="8">
      <w:start w:val="1"/>
      <w:numFmt w:val="decimal"/>
      <w:isLgl/>
      <w:lvlText w:val="%1.%2.%3.%4.%5.%6.%7.%8.%9"/>
      <w:lvlJc w:val="left"/>
      <w:pPr>
        <w:ind w:left="2580" w:hanging="1800"/>
      </w:pPr>
      <w:rPr>
        <w:rFonts w:hint="default"/>
        <w:i w:val="0"/>
      </w:rPr>
    </w:lvl>
  </w:abstractNum>
  <w:abstractNum w:abstractNumId="1" w15:restartNumberingAfterBreak="0">
    <w:nsid w:val="2B924632"/>
    <w:multiLevelType w:val="hybridMultilevel"/>
    <w:tmpl w:val="7D6AEF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F05FDD"/>
    <w:multiLevelType w:val="multilevel"/>
    <w:tmpl w:val="417C8E3E"/>
    <w:lvl w:ilvl="0">
      <w:start w:val="8"/>
      <w:numFmt w:val="decimal"/>
      <w:lvlText w:val="%1."/>
      <w:lvlJc w:val="left"/>
      <w:pPr>
        <w:ind w:left="780" w:hanging="360"/>
      </w:pPr>
      <w:rPr>
        <w:rFonts w:hint="default"/>
      </w:rPr>
    </w:lvl>
    <w:lvl w:ilvl="1">
      <w:start w:val="4"/>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3" w15:restartNumberingAfterBreak="0">
    <w:nsid w:val="32103A5E"/>
    <w:multiLevelType w:val="hybridMultilevel"/>
    <w:tmpl w:val="E1E0D62E"/>
    <w:lvl w:ilvl="0" w:tplc="30090015">
      <w:start w:val="1"/>
      <w:numFmt w:val="upperLetter"/>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4" w15:restartNumberingAfterBreak="0">
    <w:nsid w:val="398E295C"/>
    <w:multiLevelType w:val="hybridMultilevel"/>
    <w:tmpl w:val="B79A01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366ACE"/>
    <w:multiLevelType w:val="multilevel"/>
    <w:tmpl w:val="61405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DA09FE"/>
    <w:multiLevelType w:val="multilevel"/>
    <w:tmpl w:val="334E9254"/>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7A8483A"/>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8" w15:restartNumberingAfterBreak="0">
    <w:nsid w:val="4D61467E"/>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9" w15:restartNumberingAfterBreak="0">
    <w:nsid w:val="4ECA69EF"/>
    <w:multiLevelType w:val="hybridMultilevel"/>
    <w:tmpl w:val="97901D80"/>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15:restartNumberingAfterBreak="0">
    <w:nsid w:val="52D74EE5"/>
    <w:multiLevelType w:val="hybridMultilevel"/>
    <w:tmpl w:val="B98CA36A"/>
    <w:lvl w:ilvl="0" w:tplc="75D4D1B6">
      <w:start w:val="6"/>
      <w:numFmt w:val="bullet"/>
      <w:lvlText w:val="-"/>
      <w:lvlJc w:val="left"/>
      <w:pPr>
        <w:ind w:left="720" w:hanging="360"/>
      </w:pPr>
      <w:rPr>
        <w:rFonts w:ascii="Calibri" w:eastAsiaTheme="minorHAnsi" w:hAnsi="Calibri" w:cs="Calibri"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1" w15:restartNumberingAfterBreak="0">
    <w:nsid w:val="59E57EBE"/>
    <w:multiLevelType w:val="hybridMultilevel"/>
    <w:tmpl w:val="0BA87AFE"/>
    <w:lvl w:ilvl="0" w:tplc="30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85B45"/>
    <w:multiLevelType w:val="multilevel"/>
    <w:tmpl w:val="5890EF00"/>
    <w:lvl w:ilvl="0">
      <w:start w:val="1"/>
      <w:numFmt w:val="decimal"/>
      <w:lvlText w:val="%1"/>
      <w:lvlJc w:val="left"/>
      <w:pPr>
        <w:ind w:left="360" w:hanging="360"/>
      </w:pPr>
      <w:rPr>
        <w:rFonts w:hint="default"/>
      </w:rPr>
    </w:lvl>
    <w:lvl w:ilvl="1">
      <w:start w:val="1"/>
      <w:numFmt w:val="decimal"/>
      <w:lvlText w:val="%1.%2"/>
      <w:lvlJc w:val="left"/>
      <w:pPr>
        <w:ind w:left="2486"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3" w15:restartNumberingAfterBreak="0">
    <w:nsid w:val="5EBA4E60"/>
    <w:multiLevelType w:val="multilevel"/>
    <w:tmpl w:val="13C0F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BF1627"/>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15" w15:restartNumberingAfterBreak="0">
    <w:nsid w:val="6673255E"/>
    <w:multiLevelType w:val="multilevel"/>
    <w:tmpl w:val="5D10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972336"/>
    <w:multiLevelType w:val="multilevel"/>
    <w:tmpl w:val="275EC13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F4457D7"/>
    <w:multiLevelType w:val="multilevel"/>
    <w:tmpl w:val="6A2CADF4"/>
    <w:lvl w:ilvl="0">
      <w:start w:val="3"/>
      <w:numFmt w:val="decimal"/>
      <w:lvlText w:val="%1."/>
      <w:lvlJc w:val="left"/>
      <w:pPr>
        <w:ind w:left="1140" w:hanging="360"/>
      </w:pPr>
      <w:rPr>
        <w:rFonts w:hint="default"/>
      </w:rPr>
    </w:lvl>
    <w:lvl w:ilvl="1">
      <w:start w:val="4"/>
      <w:numFmt w:val="decimal"/>
      <w:isLgl/>
      <w:lvlText w:val="%1.%2"/>
      <w:lvlJc w:val="left"/>
      <w:pPr>
        <w:ind w:left="1320" w:hanging="540"/>
      </w:pPr>
      <w:rPr>
        <w:rFonts w:hint="default"/>
        <w:i w:val="0"/>
      </w:rPr>
    </w:lvl>
    <w:lvl w:ilvl="2">
      <w:start w:val="1"/>
      <w:numFmt w:val="decimal"/>
      <w:isLgl/>
      <w:lvlText w:val="%1.%2.%3"/>
      <w:lvlJc w:val="left"/>
      <w:pPr>
        <w:ind w:left="1500" w:hanging="720"/>
      </w:pPr>
      <w:rPr>
        <w:rFonts w:hint="default"/>
        <w:i w:val="0"/>
      </w:rPr>
    </w:lvl>
    <w:lvl w:ilvl="3">
      <w:start w:val="1"/>
      <w:numFmt w:val="decimal"/>
      <w:isLgl/>
      <w:lvlText w:val="%1.%2.%3.%4"/>
      <w:lvlJc w:val="left"/>
      <w:pPr>
        <w:ind w:left="1500" w:hanging="720"/>
      </w:pPr>
      <w:rPr>
        <w:rFonts w:hint="default"/>
        <w:i w:val="0"/>
      </w:rPr>
    </w:lvl>
    <w:lvl w:ilvl="4">
      <w:start w:val="1"/>
      <w:numFmt w:val="decimal"/>
      <w:isLgl/>
      <w:lvlText w:val="%1.%2.%3.%4.%5"/>
      <w:lvlJc w:val="left"/>
      <w:pPr>
        <w:ind w:left="1860" w:hanging="1080"/>
      </w:pPr>
      <w:rPr>
        <w:rFonts w:hint="default"/>
        <w:i w:val="0"/>
      </w:rPr>
    </w:lvl>
    <w:lvl w:ilvl="5">
      <w:start w:val="1"/>
      <w:numFmt w:val="decimal"/>
      <w:isLgl/>
      <w:lvlText w:val="%1.%2.%3.%4.%5.%6"/>
      <w:lvlJc w:val="left"/>
      <w:pPr>
        <w:ind w:left="1860" w:hanging="1080"/>
      </w:pPr>
      <w:rPr>
        <w:rFonts w:hint="default"/>
        <w:i w:val="0"/>
      </w:rPr>
    </w:lvl>
    <w:lvl w:ilvl="6">
      <w:start w:val="1"/>
      <w:numFmt w:val="decimal"/>
      <w:isLgl/>
      <w:lvlText w:val="%1.%2.%3.%4.%5.%6.%7"/>
      <w:lvlJc w:val="left"/>
      <w:pPr>
        <w:ind w:left="2220" w:hanging="1440"/>
      </w:pPr>
      <w:rPr>
        <w:rFonts w:hint="default"/>
        <w:i w:val="0"/>
      </w:rPr>
    </w:lvl>
    <w:lvl w:ilvl="7">
      <w:start w:val="1"/>
      <w:numFmt w:val="decimal"/>
      <w:isLgl/>
      <w:lvlText w:val="%1.%2.%3.%4.%5.%6.%7.%8"/>
      <w:lvlJc w:val="left"/>
      <w:pPr>
        <w:ind w:left="2220" w:hanging="1440"/>
      </w:pPr>
      <w:rPr>
        <w:rFonts w:hint="default"/>
        <w:i w:val="0"/>
      </w:rPr>
    </w:lvl>
    <w:lvl w:ilvl="8">
      <w:start w:val="1"/>
      <w:numFmt w:val="decimal"/>
      <w:isLgl/>
      <w:lvlText w:val="%1.%2.%3.%4.%5.%6.%7.%8.%9"/>
      <w:lvlJc w:val="left"/>
      <w:pPr>
        <w:ind w:left="2580" w:hanging="1800"/>
      </w:pPr>
      <w:rPr>
        <w:rFonts w:hint="default"/>
        <w:i w:val="0"/>
      </w:rPr>
    </w:lvl>
  </w:abstractNum>
  <w:abstractNum w:abstractNumId="18" w15:restartNumberingAfterBreak="0">
    <w:nsid w:val="7BF40639"/>
    <w:multiLevelType w:val="multilevel"/>
    <w:tmpl w:val="DADA7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4"/>
  </w:num>
  <w:num w:numId="3">
    <w:abstractNumId w:val="1"/>
  </w:num>
  <w:num w:numId="4">
    <w:abstractNumId w:val="4"/>
  </w:num>
  <w:num w:numId="5">
    <w:abstractNumId w:val="8"/>
  </w:num>
  <w:num w:numId="6">
    <w:abstractNumId w:val="9"/>
  </w:num>
  <w:num w:numId="7">
    <w:abstractNumId w:val="13"/>
  </w:num>
  <w:num w:numId="8">
    <w:abstractNumId w:val="5"/>
  </w:num>
  <w:num w:numId="9">
    <w:abstractNumId w:val="18"/>
  </w:num>
  <w:num w:numId="10">
    <w:abstractNumId w:val="15"/>
  </w:num>
  <w:num w:numId="11">
    <w:abstractNumId w:val="12"/>
  </w:num>
  <w:num w:numId="12">
    <w:abstractNumId w:val="2"/>
  </w:num>
  <w:num w:numId="13">
    <w:abstractNumId w:val="10"/>
  </w:num>
  <w:num w:numId="14">
    <w:abstractNumId w:val="17"/>
  </w:num>
  <w:num w:numId="15">
    <w:abstractNumId w:val="3"/>
  </w:num>
  <w:num w:numId="16">
    <w:abstractNumId w:val="0"/>
  </w:num>
  <w:num w:numId="17">
    <w:abstractNumId w:val="16"/>
  </w:num>
  <w:num w:numId="18">
    <w:abstractNumId w:val="6"/>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8B8"/>
    <w:rsid w:val="001548B8"/>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BF0683-B817-4F41-AE4C-B90FC2D04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8B8"/>
    <w:pPr>
      <w:spacing w:before="120" w:after="200" w:line="264" w:lineRule="auto"/>
    </w:pPr>
    <w:rPr>
      <w:color w:val="595959" w:themeColor="text1" w:themeTint="A6"/>
      <w:sz w:val="20"/>
      <w:szCs w:val="20"/>
      <w:lang w:eastAsia="ja-JP"/>
    </w:rPr>
  </w:style>
  <w:style w:type="paragraph" w:styleId="Heading1">
    <w:name w:val="heading 1"/>
    <w:basedOn w:val="Normal"/>
    <w:next w:val="Normal"/>
    <w:link w:val="Heading1Char"/>
    <w:uiPriority w:val="9"/>
    <w:qFormat/>
    <w:rsid w:val="001548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1548B8"/>
    <w:pPr>
      <w:spacing w:before="100" w:beforeAutospacing="1" w:after="100" w:afterAutospacing="1" w:line="240" w:lineRule="auto"/>
      <w:outlineLvl w:val="2"/>
    </w:pPr>
    <w:rPr>
      <w:rFonts w:ascii="Times New Roman" w:eastAsia="Times New Roman" w:hAnsi="Times New Roman" w:cs="Times New Roman"/>
      <w:b/>
      <w:bCs/>
      <w:color w:val="auto"/>
      <w:sz w:val="27"/>
      <w:szCs w:val="27"/>
      <w:lang w:val="en-ZW" w:eastAsia="en-Z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8B8"/>
    <w:rPr>
      <w:rFonts w:asciiTheme="majorHAnsi" w:eastAsiaTheme="majorEastAsia" w:hAnsiTheme="majorHAnsi" w:cstheme="majorBidi"/>
      <w:color w:val="2F5496" w:themeColor="accent1" w:themeShade="BF"/>
      <w:sz w:val="32"/>
      <w:szCs w:val="32"/>
      <w:lang w:eastAsia="ja-JP"/>
    </w:rPr>
  </w:style>
  <w:style w:type="character" w:customStyle="1" w:styleId="Heading3Char">
    <w:name w:val="Heading 3 Char"/>
    <w:basedOn w:val="DefaultParagraphFont"/>
    <w:link w:val="Heading3"/>
    <w:uiPriority w:val="9"/>
    <w:rsid w:val="001548B8"/>
    <w:rPr>
      <w:rFonts w:ascii="Times New Roman" w:eastAsia="Times New Roman" w:hAnsi="Times New Roman" w:cs="Times New Roman"/>
      <w:b/>
      <w:bCs/>
      <w:sz w:val="27"/>
      <w:szCs w:val="27"/>
      <w:lang w:val="en-ZW" w:eastAsia="en-ZW"/>
    </w:rPr>
  </w:style>
  <w:style w:type="paragraph" w:styleId="ListParagraph">
    <w:name w:val="List Paragraph"/>
    <w:basedOn w:val="Normal"/>
    <w:uiPriority w:val="34"/>
    <w:qFormat/>
    <w:rsid w:val="001548B8"/>
    <w:pPr>
      <w:ind w:left="720"/>
      <w:contextualSpacing/>
    </w:pPr>
  </w:style>
  <w:style w:type="character" w:styleId="CommentReference">
    <w:name w:val="annotation reference"/>
    <w:basedOn w:val="DefaultParagraphFont"/>
    <w:uiPriority w:val="99"/>
    <w:semiHidden/>
    <w:unhideWhenUsed/>
    <w:rsid w:val="001548B8"/>
    <w:rPr>
      <w:sz w:val="16"/>
      <w:szCs w:val="16"/>
    </w:rPr>
  </w:style>
  <w:style w:type="paragraph" w:styleId="CommentText">
    <w:name w:val="annotation text"/>
    <w:basedOn w:val="Normal"/>
    <w:link w:val="CommentTextChar"/>
    <w:uiPriority w:val="99"/>
    <w:semiHidden/>
    <w:unhideWhenUsed/>
    <w:rsid w:val="001548B8"/>
    <w:pPr>
      <w:spacing w:line="240" w:lineRule="auto"/>
    </w:pPr>
  </w:style>
  <w:style w:type="character" w:customStyle="1" w:styleId="CommentTextChar">
    <w:name w:val="Comment Text Char"/>
    <w:basedOn w:val="DefaultParagraphFont"/>
    <w:link w:val="CommentText"/>
    <w:uiPriority w:val="99"/>
    <w:semiHidden/>
    <w:rsid w:val="001548B8"/>
    <w:rPr>
      <w:color w:val="595959" w:themeColor="text1" w:themeTint="A6"/>
      <w:sz w:val="20"/>
      <w:szCs w:val="20"/>
      <w:lang w:eastAsia="ja-JP"/>
    </w:rPr>
  </w:style>
  <w:style w:type="paragraph" w:styleId="BalloonText">
    <w:name w:val="Balloon Text"/>
    <w:basedOn w:val="Normal"/>
    <w:link w:val="BalloonTextChar"/>
    <w:uiPriority w:val="99"/>
    <w:semiHidden/>
    <w:unhideWhenUsed/>
    <w:rsid w:val="001548B8"/>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48B8"/>
    <w:rPr>
      <w:rFonts w:ascii="Segoe UI" w:hAnsi="Segoe UI" w:cs="Segoe UI"/>
      <w:color w:val="595959" w:themeColor="text1" w:themeTint="A6"/>
      <w:sz w:val="18"/>
      <w:szCs w:val="18"/>
      <w:lang w:eastAsia="ja-JP"/>
    </w:rPr>
  </w:style>
  <w:style w:type="table" w:customStyle="1" w:styleId="ReportTable">
    <w:name w:val="Report Table"/>
    <w:basedOn w:val="TableNormal"/>
    <w:uiPriority w:val="99"/>
    <w:rsid w:val="001548B8"/>
    <w:pPr>
      <w:spacing w:before="60" w:after="60" w:line="240" w:lineRule="auto"/>
      <w:jc w:val="center"/>
    </w:pPr>
    <w:rPr>
      <w:color w:val="595959" w:themeColor="text1" w:themeTint="A6"/>
      <w:sz w:val="20"/>
      <w:szCs w:val="20"/>
      <w:lang w:eastAsia="ja-JP"/>
    </w:rPr>
    <w:tblPr>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Pr>
    <w:tblStylePr w:type="firstRow">
      <w:rPr>
        <w:b/>
        <w:color w:val="000000" w:themeColor="text1"/>
      </w:rPr>
      <w:tblPr/>
      <w:tcPr>
        <w:tcBorders>
          <w:top w:val="nil"/>
          <w:left w:val="nil"/>
          <w:bottom w:val="nil"/>
          <w:right w:val="nil"/>
          <w:insideH w:val="nil"/>
          <w:insideV w:val="nil"/>
          <w:tl2br w:val="nil"/>
          <w:tr2bl w:val="nil"/>
        </w:tcBorders>
      </w:tcPr>
    </w:tblStylePr>
    <w:tblStylePr w:type="firstCol">
      <w:pPr>
        <w:wordWrap/>
        <w:jc w:val="left"/>
      </w:pPr>
    </w:tblStylePr>
  </w:style>
  <w:style w:type="paragraph" w:styleId="Bibliography">
    <w:name w:val="Bibliography"/>
    <w:basedOn w:val="Normal"/>
    <w:next w:val="Normal"/>
    <w:uiPriority w:val="37"/>
    <w:unhideWhenUsed/>
    <w:rsid w:val="001548B8"/>
    <w:pPr>
      <w:tabs>
        <w:tab w:val="left" w:pos="504"/>
      </w:tabs>
      <w:spacing w:after="240" w:line="240" w:lineRule="auto"/>
      <w:ind w:left="504" w:hanging="504"/>
    </w:pPr>
  </w:style>
  <w:style w:type="table" w:styleId="TableGrid">
    <w:name w:val="Table Grid"/>
    <w:basedOn w:val="TableNormal"/>
    <w:uiPriority w:val="39"/>
    <w:rsid w:val="00154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548B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1548B8"/>
    <w:rPr>
      <w:color w:val="595959" w:themeColor="text1" w:themeTint="A6"/>
      <w:sz w:val="20"/>
      <w:szCs w:val="20"/>
      <w:lang w:eastAsia="ja-JP"/>
    </w:rPr>
  </w:style>
  <w:style w:type="paragraph" w:styleId="Footer">
    <w:name w:val="footer"/>
    <w:basedOn w:val="Normal"/>
    <w:link w:val="FooterChar"/>
    <w:uiPriority w:val="99"/>
    <w:unhideWhenUsed/>
    <w:rsid w:val="001548B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1548B8"/>
    <w:rPr>
      <w:color w:val="595959" w:themeColor="text1" w:themeTint="A6"/>
      <w:sz w:val="20"/>
      <w:szCs w:val="20"/>
      <w:lang w:eastAsia="ja-JP"/>
    </w:rPr>
  </w:style>
  <w:style w:type="paragraph" w:styleId="CommentSubject">
    <w:name w:val="annotation subject"/>
    <w:basedOn w:val="CommentText"/>
    <w:next w:val="CommentText"/>
    <w:link w:val="CommentSubjectChar"/>
    <w:uiPriority w:val="99"/>
    <w:semiHidden/>
    <w:unhideWhenUsed/>
    <w:rsid w:val="001548B8"/>
    <w:rPr>
      <w:b/>
      <w:bCs/>
    </w:rPr>
  </w:style>
  <w:style w:type="character" w:customStyle="1" w:styleId="CommentSubjectChar">
    <w:name w:val="Comment Subject Char"/>
    <w:basedOn w:val="CommentTextChar"/>
    <w:link w:val="CommentSubject"/>
    <w:uiPriority w:val="99"/>
    <w:semiHidden/>
    <w:rsid w:val="001548B8"/>
    <w:rPr>
      <w:b/>
      <w:bCs/>
      <w:color w:val="595959" w:themeColor="text1" w:themeTint="A6"/>
      <w:sz w:val="20"/>
      <w:szCs w:val="20"/>
      <w:lang w:eastAsia="ja-JP"/>
    </w:rPr>
  </w:style>
  <w:style w:type="paragraph" w:styleId="NormalWeb">
    <w:name w:val="Normal (Web)"/>
    <w:basedOn w:val="Normal"/>
    <w:uiPriority w:val="99"/>
    <w:semiHidden/>
    <w:unhideWhenUsed/>
    <w:rsid w:val="001548B8"/>
    <w:rPr>
      <w:rFonts w:ascii="Times New Roman" w:hAnsi="Times New Roman" w:cs="Times New Roman"/>
      <w:sz w:val="24"/>
      <w:szCs w:val="24"/>
    </w:rPr>
  </w:style>
  <w:style w:type="character" w:styleId="Hyperlink">
    <w:name w:val="Hyperlink"/>
    <w:basedOn w:val="DefaultParagraphFont"/>
    <w:uiPriority w:val="99"/>
    <w:unhideWhenUsed/>
    <w:rsid w:val="001548B8"/>
    <w:rPr>
      <w:color w:val="0563C1" w:themeColor="hyperlink"/>
      <w:u w:val="single"/>
    </w:rPr>
  </w:style>
  <w:style w:type="character" w:styleId="FollowedHyperlink">
    <w:name w:val="FollowedHyperlink"/>
    <w:basedOn w:val="DefaultParagraphFont"/>
    <w:uiPriority w:val="99"/>
    <w:semiHidden/>
    <w:unhideWhenUsed/>
    <w:rsid w:val="001548B8"/>
    <w:rPr>
      <w:color w:val="954F72" w:themeColor="followedHyperlink"/>
      <w:u w:val="single"/>
    </w:rPr>
  </w:style>
  <w:style w:type="paragraph" w:customStyle="1" w:styleId="Default">
    <w:name w:val="Default"/>
    <w:rsid w:val="001548B8"/>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1548B8"/>
    <w:pPr>
      <w:spacing w:before="0" w:after="0" w:line="240" w:lineRule="auto"/>
    </w:pPr>
  </w:style>
  <w:style w:type="character" w:customStyle="1" w:styleId="FootnoteTextChar">
    <w:name w:val="Footnote Text Char"/>
    <w:basedOn w:val="DefaultParagraphFont"/>
    <w:link w:val="FootnoteText"/>
    <w:uiPriority w:val="99"/>
    <w:semiHidden/>
    <w:rsid w:val="001548B8"/>
    <w:rPr>
      <w:color w:val="595959" w:themeColor="text1" w:themeTint="A6"/>
      <w:sz w:val="20"/>
      <w:szCs w:val="20"/>
      <w:lang w:eastAsia="ja-JP"/>
    </w:rPr>
  </w:style>
  <w:style w:type="character" w:styleId="FootnoteReference">
    <w:name w:val="footnote reference"/>
    <w:basedOn w:val="DefaultParagraphFont"/>
    <w:uiPriority w:val="99"/>
    <w:semiHidden/>
    <w:unhideWhenUsed/>
    <w:rsid w:val="001548B8"/>
    <w:rPr>
      <w:vertAlign w:val="superscript"/>
    </w:rPr>
  </w:style>
  <w:style w:type="paragraph" w:customStyle="1" w:styleId="para">
    <w:name w:val="para"/>
    <w:basedOn w:val="Normal"/>
    <w:rsid w:val="001548B8"/>
    <w:pPr>
      <w:spacing w:before="100" w:beforeAutospacing="1" w:after="100" w:afterAutospacing="1" w:line="240" w:lineRule="auto"/>
    </w:pPr>
    <w:rPr>
      <w:rFonts w:ascii="Times New Roman" w:eastAsia="Times New Roman" w:hAnsi="Times New Roman" w:cs="Times New Roman"/>
      <w:color w:val="auto"/>
      <w:sz w:val="24"/>
      <w:szCs w:val="24"/>
      <w:lang w:val="en-ZW" w:eastAsia="en-ZW"/>
    </w:rPr>
  </w:style>
  <w:style w:type="table" w:styleId="PlainTable1">
    <w:name w:val="Plain Table 1"/>
    <w:basedOn w:val="TableNormal"/>
    <w:uiPriority w:val="41"/>
    <w:rsid w:val="001548B8"/>
    <w:pPr>
      <w:spacing w:after="0" w:line="240" w:lineRule="auto"/>
    </w:pPr>
    <w:rPr>
      <w:lang w:val="en-ZW"/>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1">
    <w:name w:val="Grid Table 3 Accent 1"/>
    <w:basedOn w:val="TableNormal"/>
    <w:uiPriority w:val="48"/>
    <w:rsid w:val="001548B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PlainTable5">
    <w:name w:val="Plain Table 5"/>
    <w:basedOn w:val="TableNormal"/>
    <w:uiPriority w:val="45"/>
    <w:rsid w:val="001548B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1548B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548B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5324</Words>
  <Characters>30350</Characters>
  <Application>Microsoft Office Word</Application>
  <DocSecurity>0</DocSecurity>
  <Lines>252</Lines>
  <Paragraphs>71</Paragraphs>
  <ScaleCrop>false</ScaleCrop>
  <Company/>
  <LinksUpToDate>false</LinksUpToDate>
  <CharactersWithSpaces>35603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2020-01-16T19:23:00Z</dcterms:created>
  <dcterms:modified xsi:type="dcterms:W3CDTF">2020-01-16T19:23:00Z</dcterms:modified>
</cp:coreProperties>
</file>